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9E7E" w14:textId="77777777" w:rsidR="00B5658E" w:rsidRDefault="00B5658E" w:rsidP="00B5658E">
      <w:pPr>
        <w:spacing w:before="240" w:after="240"/>
        <w:rPr>
          <w:b/>
          <w:bCs/>
        </w:rPr>
      </w:pPr>
      <w:r>
        <w:rPr>
          <w:b/>
          <w:bCs/>
          <w:u w:val="single"/>
        </w:rPr>
        <w:t>Wniosek do rady o zmianę statutu</w:t>
      </w:r>
    </w:p>
    <w:p w14:paraId="03FDFA21" w14:textId="77777777" w:rsidR="00B5658E" w:rsidRDefault="00B5658E" w:rsidP="00B5658E">
      <w:pPr>
        <w:spacing w:after="240"/>
        <w:ind w:left="7240"/>
      </w:pPr>
      <w:r>
        <w:t>Miejscowość, data</w:t>
      </w:r>
    </w:p>
    <w:p w14:paraId="417179DD" w14:textId="77777777" w:rsidR="00B5658E" w:rsidRDefault="00B5658E" w:rsidP="00B5658E">
      <w:r>
        <w:t>Wnioskodawca:</w:t>
      </w:r>
    </w:p>
    <w:p w14:paraId="395CE943" w14:textId="77777777" w:rsidR="00B5658E" w:rsidRDefault="00B5658E" w:rsidP="00B5658E">
      <w:r>
        <w:t>Imię i Nazwisko</w:t>
      </w:r>
    </w:p>
    <w:p w14:paraId="3C6D7EFD" w14:textId="77777777" w:rsidR="00B5658E" w:rsidRDefault="00B5658E" w:rsidP="00B5658E">
      <w:r>
        <w:t>Adres do doręczeń</w:t>
      </w:r>
    </w:p>
    <w:p w14:paraId="4FAD8CF8" w14:textId="77777777" w:rsidR="00B5658E" w:rsidRDefault="00B5658E" w:rsidP="00B5658E">
      <w:r>
        <w:t>Adres dla e-doręczeń:</w:t>
      </w:r>
    </w:p>
    <w:p w14:paraId="5005F6DC" w14:textId="77777777" w:rsidR="00B5658E" w:rsidRDefault="00B5658E" w:rsidP="00B5658E">
      <w:pPr>
        <w:ind w:left="6380"/>
        <w:rPr>
          <w:b/>
          <w:bCs/>
        </w:rPr>
      </w:pPr>
      <w:r>
        <w:rPr>
          <w:b/>
          <w:bCs/>
        </w:rPr>
        <w:t>Adresat:</w:t>
      </w:r>
    </w:p>
    <w:p w14:paraId="0FDC3DED" w14:textId="77777777" w:rsidR="00B5658E" w:rsidRDefault="00B5658E" w:rsidP="00B5658E">
      <w:pPr>
        <w:ind w:left="6380"/>
        <w:rPr>
          <w:b/>
          <w:bCs/>
        </w:rPr>
      </w:pPr>
      <w:r>
        <w:rPr>
          <w:b/>
          <w:bCs/>
        </w:rPr>
        <w:t>Rada Gminy/Miasta</w:t>
      </w:r>
    </w:p>
    <w:p w14:paraId="0F406513" w14:textId="77777777" w:rsidR="00B5658E" w:rsidRDefault="00B5658E" w:rsidP="00B5658E">
      <w:pPr>
        <w:ind w:left="6380"/>
        <w:rPr>
          <w:b/>
          <w:bCs/>
        </w:rPr>
      </w:pPr>
      <w:r>
        <w:rPr>
          <w:b/>
          <w:bCs/>
        </w:rPr>
        <w:t>ul.</w:t>
      </w:r>
    </w:p>
    <w:p w14:paraId="34723151" w14:textId="77777777" w:rsidR="00B5658E" w:rsidRDefault="00B5658E" w:rsidP="00B5658E">
      <w:pPr>
        <w:ind w:left="6380"/>
        <w:rPr>
          <w:b/>
          <w:bCs/>
        </w:rPr>
      </w:pPr>
      <w:r>
        <w:rPr>
          <w:b/>
          <w:bCs/>
        </w:rPr>
        <w:t xml:space="preserve">Kod pocztowy </w:t>
      </w:r>
    </w:p>
    <w:p w14:paraId="1BDAB8BC" w14:textId="77777777" w:rsidR="00B5658E" w:rsidRDefault="00B5658E" w:rsidP="00B5658E">
      <w:pPr>
        <w:ind w:left="6380"/>
      </w:pPr>
      <w:r>
        <w:rPr>
          <w:b/>
          <w:bCs/>
        </w:rPr>
        <w:t>i miejscowość</w:t>
      </w:r>
    </w:p>
    <w:p w14:paraId="30EDC2A3" w14:textId="77777777" w:rsidR="00B5658E" w:rsidRDefault="00B5658E" w:rsidP="00B5658E">
      <w:pPr>
        <w:spacing w:before="240" w:after="240"/>
        <w:jc w:val="center"/>
      </w:pPr>
      <w:r>
        <w:rPr>
          <w:b/>
          <w:bCs/>
        </w:rPr>
        <w:t>WNIOSEK</w:t>
      </w:r>
    </w:p>
    <w:p w14:paraId="2C50C5DA" w14:textId="77777777" w:rsidR="00B5658E" w:rsidRDefault="00B5658E" w:rsidP="00B5658E">
      <w:pPr>
        <w:spacing w:before="240" w:after="240"/>
        <w:jc w:val="both"/>
      </w:pPr>
      <w:r>
        <w:t xml:space="preserve">Na podstawie art. 63 Konstytucji RP art. 241 Kodeksu postępowania administracyjnego, zwracam się z wnioskiem o podjęcie inicjatywy uchwałodawczej w sprawie zmiany Statutu </w:t>
      </w:r>
      <w:r>
        <w:rPr>
          <w:b/>
          <w:bCs/>
        </w:rPr>
        <w:t>Gminy/Miasta</w:t>
      </w:r>
      <w:r>
        <w:t xml:space="preserve"> poprzez wprowadzenie zapisu nakładającego obowiązek transmitowania na żywo oraz publikowania nagrań z posiedzeń wszystkich komisji Rady w Biuletynie Informacji Publicznej, czy też w systemie wykorzystywanym do transmisji obrad Rady oraz na stronie internetowej urzędu.</w:t>
      </w:r>
    </w:p>
    <w:p w14:paraId="31C2FF7B" w14:textId="77777777" w:rsidR="00B5658E" w:rsidRDefault="00B5658E" w:rsidP="00B5658E">
      <w:pPr>
        <w:spacing w:before="240" w:after="240"/>
        <w:jc w:val="center"/>
      </w:pPr>
      <w:r>
        <w:t xml:space="preserve"> </w:t>
      </w:r>
      <w:r>
        <w:rPr>
          <w:b/>
          <w:bCs/>
        </w:rPr>
        <w:t>Uzasadnienie</w:t>
      </w:r>
    </w:p>
    <w:p w14:paraId="20CFEFDF" w14:textId="77777777" w:rsidR="00B5658E" w:rsidRDefault="00B5658E" w:rsidP="00B5658E">
      <w:pPr>
        <w:spacing w:before="240" w:after="240"/>
        <w:jc w:val="both"/>
        <w:rPr>
          <w:vertAlign w:val="superscript"/>
        </w:rPr>
      </w:pPr>
      <w:r>
        <w:t>Zgodnie z art. 61 ust. 1 i 2 Konstytucji RP, obywatele mają prawo do uzyskiwania informacji o działalności organów władzy publicznej, co obejmuje wstęp na posiedzenia kolegialnych organów pochodzących z powszechnych wyborów wraz z możliwością rejestracji dźwięku i obrazu.</w:t>
      </w:r>
    </w:p>
    <w:p w14:paraId="6431FDD9" w14:textId="77777777" w:rsidR="00B5658E" w:rsidRDefault="00B5658E" w:rsidP="00B5658E">
      <w:pPr>
        <w:spacing w:before="240" w:after="240"/>
        <w:jc w:val="both"/>
        <w:rPr>
          <w:sz w:val="20"/>
          <w:szCs w:val="20"/>
        </w:rPr>
      </w:pPr>
      <w:r>
        <w:t xml:space="preserve">Obecny stan prawny, ograniczający obowiązek transmisji i publikacji nagrań jedynie do sesji Rady, tworzy barierę w dostępie do informacji dla osób, które nie mogą obserwować prac komisji osobiście. Komisje Rady są miejscem, gdzie odbywa się faktyczna praca nad tworzeniem prawa lokalnego. Wypracowywane są wówczas stanowiska dotyczące budżetu, planów zagospodarowania przestrzennego czy decyzji związanych z podatkami i </w:t>
      </w:r>
      <w:proofErr w:type="gramStart"/>
      <w:r>
        <w:t>opłatami  lokalnymi</w:t>
      </w:r>
      <w:proofErr w:type="gramEnd"/>
      <w:r>
        <w:t>. Brak dostępu do informacji o przebiegu tych prac w formie transmisji oraz nagrań uniemożliwia mieszkańcom sprawowanie pełnej kontroli nad procesem decyzyjnym, a przede wszystkim pozbawia ich możliwości poznania powodów, dla których zapadły określone decyzje. Wiedza ta jest kluczowa dla lepszego zrozumienia decyzji podejmowanych przez Radę.</w:t>
      </w:r>
      <w:r>
        <w:rPr>
          <w:sz w:val="20"/>
          <w:szCs w:val="20"/>
        </w:rPr>
        <w:t xml:space="preserve"> </w:t>
      </w:r>
    </w:p>
    <w:p w14:paraId="6CE464BE" w14:textId="77777777" w:rsidR="00B5658E" w:rsidRDefault="00B5658E" w:rsidP="00B5658E">
      <w:pPr>
        <w:spacing w:before="240" w:after="240"/>
        <w:jc w:val="both"/>
      </w:pPr>
      <w:r>
        <w:t>Ponadto wprowadzenie wnioskowanej zmiany wzmocni praworządność poprzez zapewnienie transparentności na każdym etapie legislacyjnym i zapobiegnie sytuacjom, w których kluczowe decyzje zapadają bez wiedzy szerokiego ogółu mieszkańców. Realizacja tego wniosku przyczyni się do budowy zaufania do organów samorządowych i zwiększenia partycypacji społecznej.</w:t>
      </w:r>
    </w:p>
    <w:p w14:paraId="10F9B0FB" w14:textId="77777777" w:rsidR="00B5658E" w:rsidRDefault="00B5658E" w:rsidP="00B5658E">
      <w:pPr>
        <w:spacing w:before="240" w:after="240"/>
        <w:jc w:val="both"/>
      </w:pPr>
      <w:r>
        <w:t xml:space="preserve">Zgodnie z art. 19 ustawy o dostępie do informacji publicznej, jeżeli z posiedzeń komisji sporządzane i udostępniane są materiały audiowizualne w pełni rejestrujące przebieg obrad, </w:t>
      </w:r>
      <w:r>
        <w:lastRenderedPageBreak/>
        <w:t>nie ma obowiązku sporządzania i udostępniania protokołów. Zastąpienie tradycyjnego, opisowego protokołowania pełnym nagraniem audiowizualnym usprawnia pracę Biura Rady — eliminuje konieczność każdorazowego przygotowywania projektu protokołu, nanoszenia ewentualnych poprawek oraz jego późniejszego przyjmowania. Przede wszystkim jednak pozwala uniknąć sporów dotyczących rzetelności zapisów pisemnych.</w:t>
      </w:r>
    </w:p>
    <w:p w14:paraId="56074CA6" w14:textId="77777777" w:rsidR="00B5658E" w:rsidRDefault="00B5658E" w:rsidP="00B5658E">
      <w:pPr>
        <w:spacing w:before="240" w:after="240"/>
        <w:jc w:val="both"/>
      </w:pPr>
      <w:r>
        <w:t>Nagranie stanowi wierny i obiektywny zapis przebiegu dyskusji, obejmujący nie tylko treść wypowiedzi, ale także ich kontekst, intonację oraz argumentację poszczególnych radnych, czego nie jest w stanie oddać nawet najbardziej szczegółowy protokół. W dobie powszechnej cyfryzacji administracji publicznej brak transmisji i rejestracji obrad komisji należy uznać za rozwiązanie archaiczne oraz nieefektywne kosztowo, zwłaszcza w kontekście potencjalnych sporów dotyczących ustaleń poczynionych podczas posiedzeń. Wnioskowana zmiana stanowi zatem istotny krok w kierunku rozwoju e-administracji oraz zwiększenia transparentności działania organów samorządowych.</w:t>
      </w:r>
    </w:p>
    <w:p w14:paraId="7114505F" w14:textId="77777777" w:rsidR="00B5658E" w:rsidRDefault="00B5658E" w:rsidP="00B5658E">
      <w:pPr>
        <w:spacing w:before="240" w:after="240"/>
        <w:jc w:val="both"/>
      </w:pPr>
      <w:r>
        <w:t xml:space="preserve">Ponadto wskazać należy, iż Radny w trakcie pełnienia funkcji na posiedzeniu komisji nie korzysta z ochrony wizerunku w takim zakresie jak osoba prywatna. Zgodnie z art. 81 ust. 2 ustawy o prawie autorskim i prawach pokrewnych nie wymaga </w:t>
      </w:r>
      <w:proofErr w:type="gramStart"/>
      <w:r>
        <w:t>zezwolenia  rozpowszechnianie</w:t>
      </w:r>
      <w:proofErr w:type="gramEnd"/>
      <w:r>
        <w:t xml:space="preserve"> wizerunku osoby powszechnie znanej, jeżeli wizerunek wykonano w związku z pełnieniem przez nią funkcji publicznych, w szczególności politycznych, społecznych, zawodowych oraz osoby stanowiącej jedynie szczegół całości takiej jak zgromadzenie, krajobraz, publiczna impreza. Przetwarzanie danych urzędników w trakcie obrad jest niezbędne do wypełnienia obowiązku prawnego i zadania realizowanego w interesie publicznym (art. 6 ust. 1 lit. c i e </w:t>
      </w:r>
      <w:proofErr w:type="spellStart"/>
      <w:r>
        <w:t>RODO</w:t>
      </w:r>
      <w:proofErr w:type="spellEnd"/>
      <w:r>
        <w:t xml:space="preserve">).  Warto w tym zakresie zwrócić uwagę na motyw 4 do </w:t>
      </w:r>
      <w:proofErr w:type="spellStart"/>
      <w:r>
        <w:t>RODO</w:t>
      </w:r>
      <w:proofErr w:type="spellEnd"/>
      <w:r>
        <w:t xml:space="preserve">: „Prawo do ochrony danych osobowych nie jest prawem bezwzględnym; należy je postrzegać w kontekście jego funkcji społecznej i wyważyć względem innych praw podstawowych w myśl zasady proporcjonalności”. Zatem same przepisy </w:t>
      </w:r>
      <w:proofErr w:type="spellStart"/>
      <w:r>
        <w:t>RODO</w:t>
      </w:r>
      <w:proofErr w:type="spellEnd"/>
      <w:r>
        <w:t xml:space="preserve"> nie stanowią przeszkody do transmitowania i nagrywania komisji, a jedynie gwarantują to, że radni nie będą wykorzystywali danych wrażliwych podczas dyskusji. W takim przypadku rolą przewodniczącego komisji jest poinformowanie wszystkich o transmisji i nagrywaniu oraz ewentualne reagowanie, gdyby ktoś chciał naruszyć przepisy związane z prywatnością. Jednakże jest to obowiązek techniczny, a nie przeszkoda prawna.</w:t>
      </w:r>
    </w:p>
    <w:p w14:paraId="335C4513" w14:textId="77777777" w:rsidR="00B5658E" w:rsidRDefault="00B5658E" w:rsidP="00B5658E">
      <w:pPr>
        <w:spacing w:before="240" w:after="240"/>
        <w:jc w:val="both"/>
      </w:pPr>
      <w:r>
        <w:t>Warto zaznaczyć, że są samorządy, które już prowadzą transmisję z posiedzeń komisji:</w:t>
      </w:r>
    </w:p>
    <w:p w14:paraId="75D2A76A" w14:textId="77777777" w:rsidR="00B5658E" w:rsidRDefault="00B5658E" w:rsidP="00B5658E">
      <w:pPr>
        <w:spacing w:before="240" w:after="240"/>
        <w:ind w:left="360"/>
        <w:jc w:val="both"/>
      </w:pPr>
      <w:r>
        <w:t xml:space="preserve">1.  </w:t>
      </w:r>
      <w:r>
        <w:tab/>
        <w:t>…</w:t>
      </w:r>
    </w:p>
    <w:p w14:paraId="2D6D9295" w14:textId="77777777" w:rsidR="00B5658E" w:rsidRDefault="00B5658E" w:rsidP="00B5658E">
      <w:pPr>
        <w:spacing w:before="240" w:after="240"/>
        <w:ind w:left="360"/>
        <w:jc w:val="both"/>
      </w:pPr>
      <w:r>
        <w:t xml:space="preserve">2.  </w:t>
      </w:r>
      <w:r>
        <w:tab/>
        <w:t>….</w:t>
      </w:r>
    </w:p>
    <w:p w14:paraId="5F9D2862" w14:textId="77777777" w:rsidR="00B5658E" w:rsidRDefault="00B5658E" w:rsidP="00B5658E">
      <w:pPr>
        <w:spacing w:before="240" w:after="240"/>
        <w:ind w:left="360"/>
        <w:jc w:val="both"/>
      </w:pPr>
      <w:r>
        <w:t xml:space="preserve">3.  </w:t>
      </w:r>
      <w:r>
        <w:tab/>
        <w:t xml:space="preserve"> </w:t>
      </w:r>
    </w:p>
    <w:p w14:paraId="2B2311AB" w14:textId="77777777" w:rsidR="00B5658E" w:rsidRDefault="00B5658E" w:rsidP="00B5658E">
      <w:pPr>
        <w:spacing w:before="240" w:after="240"/>
      </w:pPr>
      <w:r>
        <w:t xml:space="preserve"> Z poważaniem</w:t>
      </w:r>
    </w:p>
    <w:p w14:paraId="5E2B7CB9" w14:textId="77777777" w:rsidR="00B5658E" w:rsidRDefault="00B5658E"/>
    <w:sectPr w:rsidR="00B56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B2C55"/>
    <w:multiLevelType w:val="multilevel"/>
    <w:tmpl w:val="01E05F2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405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E"/>
    <w:rsid w:val="005006C1"/>
    <w:rsid w:val="00B56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EDEA"/>
  <w15:chartTrackingRefBased/>
  <w15:docId w15:val="{A08B41FF-223C-460D-982A-3FDA9B58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58E"/>
    <w:pPr>
      <w:spacing w:after="0" w:line="276" w:lineRule="auto"/>
    </w:pPr>
    <w:rPr>
      <w:rFonts w:ascii="Arial" w:eastAsia="Arial" w:hAnsi="Arial" w:cs="Arial"/>
      <w:kern w:val="0"/>
      <w:sz w:val="22"/>
      <w:szCs w:val="22"/>
      <w:lang w:val="pl" w:eastAsia="pl-PL"/>
      <w14:ligatures w14:val="none"/>
    </w:rPr>
  </w:style>
  <w:style w:type="paragraph" w:styleId="Nagwek1">
    <w:name w:val="heading 1"/>
    <w:basedOn w:val="Normalny"/>
    <w:next w:val="Normalny"/>
    <w:link w:val="Nagwek1Znak"/>
    <w:uiPriority w:val="9"/>
    <w:qFormat/>
    <w:rsid w:val="00B56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6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658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658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658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658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658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658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658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658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658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658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658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658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65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65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65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658E"/>
    <w:rPr>
      <w:rFonts w:eastAsiaTheme="majorEastAsia" w:cstheme="majorBidi"/>
      <w:color w:val="272727" w:themeColor="text1" w:themeTint="D8"/>
    </w:rPr>
  </w:style>
  <w:style w:type="paragraph" w:styleId="Tytu">
    <w:name w:val="Title"/>
    <w:basedOn w:val="Normalny"/>
    <w:next w:val="Normalny"/>
    <w:link w:val="TytuZnak"/>
    <w:uiPriority w:val="10"/>
    <w:qFormat/>
    <w:rsid w:val="00B56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65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65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65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658E"/>
    <w:pPr>
      <w:spacing w:before="160"/>
      <w:jc w:val="center"/>
    </w:pPr>
    <w:rPr>
      <w:i/>
      <w:iCs/>
      <w:color w:val="404040" w:themeColor="text1" w:themeTint="BF"/>
    </w:rPr>
  </w:style>
  <w:style w:type="character" w:customStyle="1" w:styleId="CytatZnak">
    <w:name w:val="Cytat Znak"/>
    <w:basedOn w:val="Domylnaczcionkaakapitu"/>
    <w:link w:val="Cytat"/>
    <w:uiPriority w:val="29"/>
    <w:rsid w:val="00B5658E"/>
    <w:rPr>
      <w:i/>
      <w:iCs/>
      <w:color w:val="404040" w:themeColor="text1" w:themeTint="BF"/>
    </w:rPr>
  </w:style>
  <w:style w:type="paragraph" w:styleId="Akapitzlist">
    <w:name w:val="List Paragraph"/>
    <w:basedOn w:val="Normalny"/>
    <w:uiPriority w:val="34"/>
    <w:qFormat/>
    <w:rsid w:val="00B5658E"/>
    <w:pPr>
      <w:ind w:left="720"/>
      <w:contextualSpacing/>
    </w:pPr>
  </w:style>
  <w:style w:type="character" w:styleId="Wyrnienieintensywne">
    <w:name w:val="Intense Emphasis"/>
    <w:basedOn w:val="Domylnaczcionkaakapitu"/>
    <w:uiPriority w:val="21"/>
    <w:qFormat/>
    <w:rsid w:val="00B5658E"/>
    <w:rPr>
      <w:i/>
      <w:iCs/>
      <w:color w:val="0F4761" w:themeColor="accent1" w:themeShade="BF"/>
    </w:rPr>
  </w:style>
  <w:style w:type="paragraph" w:styleId="Cytatintensywny">
    <w:name w:val="Intense Quote"/>
    <w:basedOn w:val="Normalny"/>
    <w:next w:val="Normalny"/>
    <w:link w:val="CytatintensywnyZnak"/>
    <w:uiPriority w:val="30"/>
    <w:qFormat/>
    <w:rsid w:val="00B56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658E"/>
    <w:rPr>
      <w:i/>
      <w:iCs/>
      <w:color w:val="0F4761" w:themeColor="accent1" w:themeShade="BF"/>
    </w:rPr>
  </w:style>
  <w:style w:type="character" w:styleId="Odwoanieintensywne">
    <w:name w:val="Intense Reference"/>
    <w:basedOn w:val="Domylnaczcionkaakapitu"/>
    <w:uiPriority w:val="32"/>
    <w:qFormat/>
    <w:rsid w:val="00B565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4152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Bójko</dc:creator>
  <cp:keywords/>
  <dc:description/>
  <cp:lastModifiedBy>Martyna Bójko</cp:lastModifiedBy>
  <cp:revision>1</cp:revision>
  <dcterms:created xsi:type="dcterms:W3CDTF">2026-04-25T22:02:00Z</dcterms:created>
  <dcterms:modified xsi:type="dcterms:W3CDTF">2026-04-25T22:02:00Z</dcterms:modified>
</cp:coreProperties>
</file>